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涉外经济合同当事人选择准据法应注意的几个问题</w:t>
      </w:r>
    </w:p>
    <w:p>
      <w:r>
        <w:rPr>
          <w:rFonts w:ascii="宋体" w:hAnsi="宋体" w:eastAsia="宋体"/>
          <w:sz w:val="24"/>
        </w:rPr>
        <w:t>毛卫民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涉外经济合同当事人选择准据法应注意的几个问题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本书出售、求购地址：https://www.jiaokey.com/book/detail/81234748.html</w:t>
      </w:r>
    </w:p>
    <w:p>
      <w:r>
        <w:t>更多相关图书推荐：https://www.jiaokey.com</w:t>
      </w:r>
    </w:p>
    <w:p>
      <w:r>
        <w:t>毛卫民 其他作品：https://www.jiaokey.com/tag/毛卫民.html</w:t>
      </w:r>
    </w:p>
    <w:p>
      <w:r>
        <w:t>关键词搜索：https://www.jiaokey.com/tag/涉外经济合同当事人选择准据法应注意的几个问题.html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