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民事法裁判要旨广编  第4册  附解释、最高法院决议、决定</w:t>
      </w:r>
    </w:p>
    <w:p>
      <w:r>
        <w:rPr>
          <w:rFonts w:ascii="宋体" w:hAnsi="宋体" w:eastAsia="宋体"/>
          <w:sz w:val="24"/>
        </w:rPr>
        <w:t>戴森雄编纂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民事法裁判要旨广编  第4册  附解释、最高法院决议、决定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戴森雄编纂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本书出售、求购地址：https://www.jiaokey.com/book/detail/80411472.html</w:t>
      </w:r>
    </w:p>
    <w:p>
      <w:r>
        <w:t>更多相关图书推荐：https://www.jiaokey.com</w:t>
      </w:r>
    </w:p>
    <w:p>
      <w:r>
        <w:t>戴森雄编纂 其他作品：https://www.jiaokey.com/tag/戴森雄编纂.html</w:t>
      </w:r>
    </w:p>
    <w:p>
      <w:r>
        <w:t>关键词搜索：https://www.jiaokey.com/tag/民事法裁判要旨广编  第4册  附解释、最高法院决议、决定.html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