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米丘林生物学原理  下</w:t>
      </w:r>
    </w:p>
    <w:p>
      <w:r>
        <w:rPr>
          <w:rFonts w:ascii="宋体" w:hAnsi="宋体" w:eastAsia="宋体"/>
          <w:sz w:val="24"/>
        </w:rPr>
        <w:t>Т.В.维诺格拉多娃等著；北京农业大学俄文翻译室译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米丘林生物学原理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Т.В.维诺格拉多娃等著；北京农业大学俄文翻译室译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本书出售、求购地址：https://www.jiaokey.com/book/detail/80411084.html</w:t>
      </w:r>
    </w:p>
    <w:p>
      <w:r>
        <w:t>更多相关图书推荐：https://www.jiaokey.com</w:t>
      </w:r>
    </w:p>
    <w:p>
      <w:r>
        <w:t>Т.В.维诺格拉多娃等著；北京农业大学俄文翻译室译 其他作品：https://www.jiaokey.com/tag/Т.В.维诺格拉多娃等著；北京农业大学俄文翻译室译.html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关键词搜索：https://www.jiaokey.com/tag/米丘林生物学原理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