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最新交通事故损害赔偿及配套法律法规行政解释司法解释与典型案例  下</w:t>
      </w:r>
    </w:p>
    <w:p>
      <w:r>
        <w:rPr>
          <w:rFonts w:ascii="宋体" w:hAnsi="宋体" w:eastAsia="宋体"/>
          <w:sz w:val="24"/>
        </w:rPr>
        <w:t>梁书文，吴合振主编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最新交通事故损害赔偿及配套法律法规行政解释司法解释与典型案例  下</w:t>
            </w:r>
          </w:p>
        </w:tc>
      </w:tr>
      <w:tr>
        <w:tc>
          <w:tcPr>
            <w:tcW w:type="dxa" w:w="4320"/>
          </w:tcPr>
          <w:p>
            <w:r>
              <w:t>作者</w:t>
            </w:r>
          </w:p>
        </w:tc>
        <w:tc>
          <w:tcPr>
            <w:tcW w:type="dxa" w:w="4320"/>
          </w:tcPr>
          <w:p>
            <w:r>
              <w:t>梁书文，吴合振主编</w:t>
            </w:r>
          </w:p>
        </w:tc>
      </w:tr>
      <w:tr>
        <w:tc>
          <w:tcPr>
            <w:tcW w:type="dxa" w:w="4320"/>
          </w:tcPr>
          <w:p>
            <w:r>
              <w:t>出版社</w:t>
            </w:r>
          </w:p>
        </w:tc>
        <w:tc>
          <w:tcPr>
            <w:tcW w:type="dxa" w:w="4320"/>
          </w:tcPr>
          <w:p>
            <w:r>
              <w:t>北京：中国人民公安大学出版社</w:t>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1462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本书出售、求购地址：https://www.jiaokey.com/book/detail/80410326.html</w:t>
      </w:r>
    </w:p>
    <w:p>
      <w:r>
        <w:t>更多相关图书推荐：https://www.jiaokey.com</w:t>
      </w:r>
    </w:p>
    <w:p>
      <w:r>
        <w:t>梁书文，吴合振主编 其他作品：https://www.jiaokey.com/tag/梁书文，吴合振主编.html</w:t>
      </w:r>
    </w:p>
    <w:p>
      <w:r>
        <w:t>北京：中国人民公安大学出版社 出版图书：https://www.jiaokey.com/tag/北京：中国人民公安大学出版社.html</w:t>
      </w:r>
    </w:p>
    <w:p>
      <w:r>
        <w:t>关键词搜索：https://www.jiaokey.com/tag/最新交通事故损害赔偿及配套法律法规行政解释司法解释与典型案例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