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1999现金流量表与最新财务会计制度改革实用手册  中</w:t>
      </w:r>
    </w:p>
    <w:p>
      <w:r>
        <w:rPr>
          <w:rFonts w:ascii="宋体" w:hAnsi="宋体" w:eastAsia="宋体"/>
          <w:sz w:val="24"/>
        </w:rPr>
        <w:t>罗锐韧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1999现金流量表与最新财务会计制度改革实用手册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本书出售、求购地址：https://www.jiaokey.com/book/detail/80408124.html</w:t>
      </w:r>
    </w:p>
    <w:p>
      <w:r>
        <w:t>更多相关图书推荐：https://www.jiaokey.com</w:t>
      </w:r>
    </w:p>
    <w:p>
      <w:r>
        <w:t>罗锐韧 其他作品：https://www.jiaokey.com/tag/罗锐韧.html</w:t>
      </w:r>
    </w:p>
    <w:p>
      <w:r>
        <w:t>龙门书局 出版图书：https://www.jiaokey.com/tag/龙门书局.html</w:t>
      </w:r>
    </w:p>
    <w:p>
      <w:r>
        <w:t>关键词搜索：https://www.jiaokey.com/tag/1999现金流量表与最新财务会计制度改革实用手册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