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（下册）</w:t>
      </w:r>
    </w:p>
    <w:p>
      <w:r>
        <w:rPr>
          <w:rFonts w:ascii="宋体" w:hAnsi="宋体" w:eastAsia="宋体"/>
          <w:sz w:val="24"/>
        </w:rPr>
        <w:t>张海鹏  王光宇  夏子贤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  王光宇  夏子贤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本书出售、求购地址：https://www.jiaokey.com/book/detail/80407472.html</w:t>
      </w:r>
    </w:p>
    <w:p>
      <w:r>
        <w:t>更多相关图书推荐：https://www.jiaokey.com</w:t>
      </w:r>
    </w:p>
    <w:p>
      <w:r>
        <w:t>张海鹏  王光宇  夏子贤 其他作品：https://www.jiaokey.com/tag/张海鹏  王光宇  夏子贤.html</w:t>
      </w:r>
    </w:p>
    <w:p>
      <w:r>
        <w:t>安徽人民出版社 出版图书：https://www.jiaokey.com/tag/安徽人民出版社.html</w:t>
      </w:r>
    </w:p>
    <w:p>
      <w:r>
        <w:t>关键词搜索：https://www.jiaokey.com/tag/中国通史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