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变态反应的原理与实践  中</w:t>
      </w:r>
    </w:p>
    <w:p>
      <w:r>
        <w:rPr>
          <w:rFonts w:ascii="宋体" w:hAnsi="宋体" w:eastAsia="宋体"/>
          <w:sz w:val="24"/>
        </w:rPr>
        <w:t>张时，汪美先等主译审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变态反应的原理与实践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张时，汪美先等主译审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西安市医学科学研究所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本书出售、求购地址：https://www.jiaokey.com/book/detail/80407171.html</w:t>
      </w:r>
    </w:p>
    <w:p>
      <w:r>
        <w:t>更多相关图书推荐：https://www.jiaokey.com</w:t>
      </w:r>
    </w:p>
    <w:p>
      <w:r>
        <w:t>张时，汪美先等主译审 其他作品：https://www.jiaokey.com/tag/张时，汪美先等主译审.html</w:t>
      </w:r>
    </w:p>
    <w:p>
      <w:r>
        <w:t>西安市医学科学研究所 出版图书：https://www.jiaokey.com/tag/西安市医学科学研究所.html</w:t>
      </w:r>
    </w:p>
    <w:p>
      <w:r>
        <w:t>关键词搜索：https://www.jiaokey.com/tag/变态反应的原理与实践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