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大地测量控制纲的建立原理  下</w:t>
      </w:r>
    </w:p>
    <w:p>
      <w:r>
        <w:rPr>
          <w:rFonts w:ascii="宋体" w:hAnsi="宋体" w:eastAsia="宋体"/>
          <w:sz w:val="24"/>
        </w:rPr>
        <w:t>Б.Н.拉宾诺维奇著；陈永龄及同济大学测量系合译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大地测量控制纲的建立原理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Б.Н.拉宾诺维奇著；陈永龄及同济大学测量系合译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本书出售、求购地址：https://www.jiaokey.com/book/detail/80406447.html</w:t>
      </w:r>
    </w:p>
    <w:p>
      <w:r>
        <w:t>更多相关图书推荐：https://www.jiaokey.com</w:t>
      </w:r>
    </w:p>
    <w:p>
      <w:r>
        <w:t>Б.Н.拉宾诺维奇著；陈永龄及同济大学测量系合译 其他作品：https://www.jiaokey.com/tag/Б.Н.拉宾诺维奇著；陈永龄及同济大学测量系合译.html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关键词搜索：https://www.jiaokey.com/tag/大地测量控制纲的建立原理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