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I486处理机 程序员参考手册 下</w:t>
      </w:r>
    </w:p>
    <w:p>
      <w:r>
        <w:rPr>
          <w:rFonts w:ascii="宋体" w:hAnsi="宋体" w:eastAsia="宋体"/>
          <w:sz w:val="24"/>
        </w:rPr>
        <w:t>鹏飞，晓晖译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I486处理机 程序员参考手册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鹏飞，晓晖译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北京希望高级电脑公司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本书出售、求购地址：https://www.jiaokey.com/book/detail/80405933.html</w:t>
      </w:r>
    </w:p>
    <w:p>
      <w:r>
        <w:t>更多相关图书推荐：https://www.jiaokey.com</w:t>
      </w:r>
    </w:p>
    <w:p>
      <w:r>
        <w:t>鹏飞，晓晖译 其他作品：https://www.jiaokey.com/tag/鹏飞，晓晖译.html</w:t>
      </w:r>
    </w:p>
    <w:p>
      <w:r>
        <w:t>北京希望高级电脑公司 出版图书：https://www.jiaokey.com/tag/北京希望高级电脑公司.html</w:t>
      </w:r>
    </w:p>
    <w:p>
      <w:r>
        <w:t>关键词搜索：https://www.jiaokey.com/tag/I486处理机 程序员参考手册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