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大洋季风  两个世界大国的博奕规则  上</w:t>
      </w:r>
    </w:p>
    <w:p>
      <w:r>
        <w:rPr>
          <w:rFonts w:ascii="宋体" w:hAnsi="宋体" w:eastAsia="宋体"/>
          <w:sz w:val="24"/>
        </w:rPr>
        <w:t>席来旺主编；俞晓秋，辛向阳副主编；北京泛亚太经济研究所编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大洋季风  两个世界大国的博奕规则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席来旺主编；俞晓秋，辛向阳副主编；北京泛亚太经济研究所编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本书出售、求购地址：https://www.jiaokey.com/book/detail/80405803.html</w:t>
      </w:r>
    </w:p>
    <w:p>
      <w:r>
        <w:t>更多相关图书推荐：https://www.jiaokey.com</w:t>
      </w:r>
    </w:p>
    <w:p>
      <w:r>
        <w:t>席来旺主编；俞晓秋，辛向阳副主编；北京泛亚太经济研究所编 其他作品：https://www.jiaokey.com/tag/席来旺主编；俞晓秋，辛向阳副主编；北京泛亚太经济研究所编.html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关键词搜索：https://www.jiaokey.com/tag/大洋季风  两个世界大国的博奕规则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