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春秋经传引得  （下册）</w:t>
      </w:r>
    </w:p>
    <w:p>
      <w:r>
        <w:rPr>
          <w:rFonts w:ascii="宋体" w:hAnsi="宋体" w:eastAsia="宋体"/>
          <w:sz w:val="24"/>
        </w:rPr>
        <w:t>洪业  聂崇岐  李书春  马锡用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春秋经传引得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  聂崇岐  李书春  马锡用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本书出售、求购地址：https://www.jiaokey.com/book/detail/80404156.html</w:t>
      </w:r>
    </w:p>
    <w:p>
      <w:r>
        <w:t>更多相关图书推荐：https://www.jiaokey.com</w:t>
      </w:r>
    </w:p>
    <w:p>
      <w:r>
        <w:t>洪业  聂崇岐  李书春  马锡用 其他作品：https://www.jiaokey.com/tag/洪业  聂崇岐  李书春  马锡用.html</w:t>
      </w:r>
    </w:p>
    <w:p>
      <w:r>
        <w:t>上海古籍出版社 出版图书：https://www.jiaokey.com/tag/上海古籍出版社.html</w:t>
      </w:r>
    </w:p>
    <w:p>
      <w:r>
        <w:t>关键词搜索：https://www.jiaokey.com/tag/春秋经传引得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