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刑事诉讼与审判法律规范全集  下</w:t>
      </w:r>
    </w:p>
    <w:p>
      <w:r>
        <w:rPr>
          <w:rFonts w:ascii="宋体" w:hAnsi="宋体" w:eastAsia="宋体"/>
          <w:sz w:val="24"/>
        </w:rPr>
        <w:t>《刑事诉讼与审判法律规范全集》编纂委员会编；刘家琛主编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刑事诉讼与审判法律规范全集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《刑事诉讼与审判法律规范全集》编纂委员会编；刘家琛主编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本书出售、求购地址：https://www.jiaokey.com/book/detail/80400236.html</w:t>
      </w:r>
    </w:p>
    <w:p>
      <w:r>
        <w:t>更多相关图书推荐：https://www.jiaokey.com</w:t>
      </w:r>
    </w:p>
    <w:p>
      <w:r>
        <w:t>《刑事诉讼与审判法律规范全集》编纂委员会编；刘家琛主编 其他作品：https://www.jiaokey.com/tag/《刑事诉讼与审判法律规范全集》编纂委员会编；刘家琛主编.html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关键词搜索：https://www.jiaokey.com/tag/刑事诉讼与审判法律规范全集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