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地铁设计规范 GB 50157-2013</w:t>
      </w:r>
    </w:p>
    <w:p>
      <w:r>
        <w:rPr>
          <w:rFonts w:ascii="宋体" w:hAnsi="宋体" w:eastAsia="宋体"/>
          <w:sz w:val="24"/>
        </w:rPr>
        <w:t>北京市规划委员会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地铁设计规范 GB 50157-2013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北京市规划委员会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本书出售、求购地址：https://www.jiaokey.com/book/detail/50381426.html</w:t>
      </w:r>
    </w:p>
    <w:p>
      <w:r>
        <w:t>更多相关图书推荐：https://www.jiaokey.com</w:t>
      </w:r>
    </w:p>
    <w:p>
      <w:r>
        <w:t>北京市规划委员会 其他作品：https://www.jiaokey.com/tag/北京市规划委员会.html</w:t>
      </w:r>
    </w:p>
    <w:p>
      <w:r>
        <w:t>关键词搜索：https://www.jiaokey.com/tag/中华人民共和国国家标准 地铁设计规范 GB 50157-2013.html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