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agricultural outlook 2018-2027</w:t>
      </w:r>
    </w:p>
    <w:p>
      <w:r>
        <w:rPr>
          <w:rFonts w:ascii="宋体" w:hAnsi="宋体" w:eastAsia="宋体"/>
          <w:sz w:val="24"/>
        </w:rPr>
        <w:t>Market Early Warning Expert Committee Ministry of Agriculture and Rural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agricultural outlook 2018-2027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Market Early Warning Expert Committee Ministry of Agriculture and Rural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本书出售、求购地址：https://www.jiaokey.com/book/detail/41019500.html</w:t>
      </w:r>
    </w:p>
    <w:p>
      <w:r>
        <w:t>更多相关图书推荐：https://www.jiaokey.com</w:t>
      </w:r>
    </w:p>
    <w:p>
      <w:r>
        <w:t>Market Early Warning Expert Committee Ministry of Agriculture and Rural Affairs 其他作品：https://www.jiaokey.com/tag/Market Early Warning Expert Committee Ministry of Agriculture and Rural Affairs.html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关键词搜索：https://www.jiaokey.com/tag/China agricultural outlook 2018-2027.html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