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Sparse matrices and their uses based on the proceedings of the IMA Numerical Analysis Group Conference</w:t>
      </w:r>
    </w:p>
    <w:p>
      <w:r>
        <w:rPr>
          <w:rFonts w:ascii="宋体" w:hAnsi="宋体" w:eastAsia="宋体"/>
          <w:sz w:val="24"/>
        </w:rPr>
        <w:t>Iain S.Duff; IMA Numerical Analysis Group.Conference(1980: University of Reading)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Sparse matrices and their uses based on the proceedings of the IMA Numerical Analysis Group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Iain S.Duff; IMA Numerical Analysis Group.Conference(1980: University of Reading)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本书出售、求购地址：https://www.jiaokey.com/book/detail/41009771.html</w:t>
      </w:r>
    </w:p>
    <w:p>
      <w:r>
        <w:t>更多相关图书推荐：https://www.jiaokey.com</w:t>
      </w:r>
    </w:p>
    <w:p>
      <w:r>
        <w:t>Iain S.Duff; IMA Numerical Analysis Group.Conference(1980: University of Reading) 其他作品：https://www.jiaokey.com/tag/Iain S.Duff; IMA Numerical Analysis Group.Conference(1980: University of Reading).html</w:t>
      </w:r>
    </w:p>
    <w:p>
      <w:r>
        <w:t>Academic Press 出版图书：https://www.jiaokey.com/tag/Academic Press.html</w:t>
      </w:r>
    </w:p>
    <w:p>
      <w:r>
        <w:t>关键词搜索：https://www.jiaokey.com/tag/Sparse matrices and their uses based on the proceedings of the IMA Numerical Analysis Group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