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international financial system analyzing the cumulative impact of regulatory reform</w:t>
      </w:r>
    </w:p>
    <w:p>
      <w:r>
        <w:rPr>
          <w:rFonts w:ascii="宋体" w:hAnsi="宋体" w:eastAsia="宋体"/>
          <w:sz w:val="24"/>
        </w:rPr>
        <w:t>Douglas Darrell Evanoff; Andrew G.Haldane; George G.Kaufman; Annual International Banking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international financial system analyzing the cumulative impact of regulatory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Darrell Evanoff; Andrew G.Haldane; George G.Kaufman; Annual International Banking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本书出售、求购地址：https://www.jiaokey.com/book/detail/41002977.html</w:t>
      </w:r>
    </w:p>
    <w:p>
      <w:r>
        <w:t>更多相关图书推荐：https://www.jiaokey.com</w:t>
      </w:r>
    </w:p>
    <w:p>
      <w:r>
        <w:t>Douglas Darrell Evanoff; Andrew G.Haldane; George G.Kaufman; Annual International Banking Conference 其他作品：https://www.jiaokey.com/tag/Douglas Darrell Evanoff; Andrew G.Haldane; George G.Kaufman; Annual International Banking Conference.html</w:t>
      </w:r>
    </w:p>
    <w:p>
      <w:r>
        <w:t>World Scientific 出版图书：https://www.jiaokey.com/tag/World Scientific.html</w:t>
      </w:r>
    </w:p>
    <w:p>
      <w:r>
        <w:t>关键词搜索：https://www.jiaokey.com/tag/The new international financial system analyzing the cumulative impact of regulatory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