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Marx theorising the global labour relations of the twenty-first century</w:t>
      </w:r>
    </w:p>
    <w:p>
      <w:r>
        <w:rPr>
          <w:rFonts w:ascii="宋体" w:hAnsi="宋体" w:eastAsia="宋体"/>
          <w:sz w:val="24"/>
        </w:rPr>
        <w:t>Marcel van der Linden; Karl Heinz Roth; Max Henninger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Marx theorising the global labour relations of the twenty-first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van der Linden; Karl Heinz Roth; Max Henninger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本书出售、求购地址：https://www.jiaokey.com/book/detail/41000921.html</w:t>
      </w:r>
    </w:p>
    <w:p>
      <w:r>
        <w:t>更多相关图书推荐：https://www.jiaokey.com</w:t>
      </w:r>
    </w:p>
    <w:p>
      <w:r>
        <w:t>Marcel van der Linden; Karl Heinz Roth; Max Henninger 其他作品：https://www.jiaokey.com/tag/Marcel van der Linden; Karl Heinz Roth; Max Henninger.html</w:t>
      </w:r>
    </w:p>
    <w:p>
      <w:r>
        <w:t>Brill 出版图书：https://www.jiaokey.com/tag/Brill.html</w:t>
      </w:r>
    </w:p>
    <w:p>
      <w:r>
        <w:t>关键词搜索：https://www.jiaokey.com/tag/Beyond Marx theorising the global labour relations of the twenty-first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