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land-use analysis for regional geodesign using LUCISplus</w:t>
      </w:r>
    </w:p>
    <w:p>
      <w:r>
        <w:rPr>
          <w:rFonts w:ascii="宋体" w:hAnsi="宋体" w:eastAsia="宋体"/>
          <w:sz w:val="24"/>
        </w:rPr>
        <w:t>Paul D.Zwick; Iris E.Patten; Abdulnaser A.Arafat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land-use analysis for regional geodesign using LUCISplus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D.Zwick; Iris E.Patten; Abdulnaser A.Arafat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Esri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本书出售、求购地址：https://www.jiaokey.com/book/detail/41000824.html</w:t>
      </w:r>
    </w:p>
    <w:p>
      <w:r>
        <w:t>更多相关图书推荐：https://www.jiaokey.com</w:t>
      </w:r>
    </w:p>
    <w:p>
      <w:r>
        <w:t>Paul D.Zwick; Iris E.Patten; Abdulnaser A.Arafat 其他作品：https://www.jiaokey.com/tag/Paul D.Zwick; Iris E.Patten; Abdulnaser A.Arafat.html</w:t>
      </w:r>
    </w:p>
    <w:p>
      <w:r>
        <w:t>Esri Press 出版图书：https://www.jiaokey.com/tag/Esri Press.html</w:t>
      </w:r>
    </w:p>
    <w:p>
      <w:r>
        <w:t>关键词搜索：https://www.jiaokey.com/tag/Advanced land-use analysis for regional geodesign using LUCISplus.html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