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Dynamiques des relations professionnelles dans les entreprises publiques en Chine le cas de deux entreprises de Shanghai</w:t>
      </w:r>
    </w:p>
    <w:p>
      <w:r>
        <w:rPr>
          <w:rFonts w:ascii="宋体" w:hAnsi="宋体" w:eastAsia="宋体"/>
          <w:sz w:val="24"/>
        </w:rPr>
        <w:t>易臻真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Dynamiques des relations professionnelles dans les entreprises publiques en Chine le cas de deux entreprises de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易臻真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本书出售、求购地址：https://www.jiaokey.com/book/detail/41000759.html</w:t>
      </w:r>
    </w:p>
    <w:p>
      <w:r>
        <w:t>更多相关图书推荐：https://www.jiaokey.com</w:t>
      </w:r>
    </w:p>
    <w:p>
      <w:r>
        <w:t>易臻真 其他作品：https://www.jiaokey.com/tag/易臻真.html</w:t>
      </w:r>
    </w:p>
    <w:p>
      <w:r>
        <w:t>上海三联书店 出版图书：https://www.jiaokey.com/tag/上海三联书店.html</w:t>
      </w:r>
    </w:p>
    <w:p>
      <w:r>
        <w:t>关键词搜索：https://www.jiaokey.com/tag/Dynamiques des relations professionnelles dans les entreprises publiques en Chine le cas de deux entreprises de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