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interactional competence in a Japanese study abroad context</w:t>
      </w:r>
    </w:p>
    <w:p>
      <w:r>
        <w:rPr>
          <w:rFonts w:ascii="宋体" w:hAnsi="宋体" w:eastAsia="宋体"/>
          <w:sz w:val="24"/>
        </w:rPr>
        <w:t>Naoko Taguchi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interactional competence in a Japanese study abroad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Naoko Taguchi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本书出售、求购地址：https://www.jiaokey.com/book/detail/40996915.html</w:t>
      </w:r>
    </w:p>
    <w:p>
      <w:r>
        <w:t>更多相关图书推荐：https://www.jiaokey.com</w:t>
      </w:r>
    </w:p>
    <w:p>
      <w:r>
        <w:t>Naoko Taguchi 其他作品：https://www.jiaokey.com/tag/Naoko Taguchi.html</w:t>
      </w:r>
    </w:p>
    <w:p>
      <w:r>
        <w:t>Multilingual Matters 出版图书：https://www.jiaokey.com/tag/Multilingual Matters.html</w:t>
      </w:r>
    </w:p>
    <w:p>
      <w:r>
        <w:t>关键词搜索：https://www.jiaokey.com/tag/Developing interactional competence in a Japanese study abroad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