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uses of anaphoric forms in Chinese discourses = 汉语篇章回指研究</w:t>
      </w:r>
    </w:p>
    <w:p>
      <w:r>
        <w:rPr>
          <w:rFonts w:ascii="宋体" w:hAnsi="宋体" w:eastAsia="宋体"/>
          <w:sz w:val="24"/>
        </w:rPr>
        <w:t>崔玉珍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uses of anaphoric forms in Chinese discourses = 汉语篇章回指研究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本书出售、求购地址：https://www.jiaokey.com/book/detail/40996269.html</w:t>
      </w:r>
    </w:p>
    <w:p>
      <w:r>
        <w:t>更多相关图书推荐：https://www.jiaokey.com</w:t>
      </w:r>
    </w:p>
    <w:p>
      <w:r>
        <w:t>崔玉珍 其他作品：https://www.jiaokey.com/tag/崔玉珍.html</w:t>
      </w:r>
    </w:p>
    <w:p>
      <w:r>
        <w:t>南开大学出版社 出版图书：https://www.jiaokey.com/tag/南开大学出版社.html</w:t>
      </w:r>
    </w:p>
    <w:p>
      <w:r>
        <w:t>关键词搜索：https://www.jiaokey.com/tag/On the uses of anaphoric forms in Chinese discourses = 汉语篇章回指研究.html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