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second language acquisition = 第二语言习得导论</w:t>
      </w:r>
    </w:p>
    <w:p>
      <w:r>
        <w:rPr>
          <w:rFonts w:ascii="宋体" w:hAnsi="宋体" w:eastAsia="宋体"/>
          <w:sz w:val="24"/>
        </w:rPr>
        <w:t>王栋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second language acquisition = 第二语言习得导论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本书出售、求购地址：https://www.jiaokey.com/book/detail/40995905.html</w:t>
      </w:r>
    </w:p>
    <w:p>
      <w:r>
        <w:t>更多相关图书推荐：https://www.jiaokey.com</w:t>
      </w:r>
    </w:p>
    <w:p>
      <w:r>
        <w:t>王栋 其他作品：https://www.jiaokey.com/tag/王栋.html</w:t>
      </w:r>
    </w:p>
    <w:p>
      <w:r>
        <w:t>山东大学出版社 出版图书：https://www.jiaokey.com/tag/山东大学出版社.html</w:t>
      </w:r>
    </w:p>
    <w:p>
      <w:r>
        <w:t>关键词搜索：https://www.jiaokey.com/tag/An introduction to second language acquisition = 第二语言习得导论.html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