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shift of parsing strategies : processing empty subject sentences among L1 and L2 learners</w:t>
      </w:r>
    </w:p>
    <w:p>
      <w:r>
        <w:rPr>
          <w:rFonts w:ascii="宋体" w:hAnsi="宋体" w:eastAsia="宋体"/>
          <w:sz w:val="24"/>
        </w:rPr>
        <w:t>Yong Zhai (翟勇)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shift of parsing strategies : processing empty subject sentences among L1 and L2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 Zhai (翟勇)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本书出售、求购地址：https://www.jiaokey.com/book/detail/40995277.html</w:t>
      </w:r>
    </w:p>
    <w:p>
      <w:r>
        <w:t>更多相关图书推荐：https://www.jiaokey.com</w:t>
      </w:r>
    </w:p>
    <w:p>
      <w:r>
        <w:t>Yong Zhai (翟勇) 其他作品：https://www.jiaokey.com/tag/Yong Zhai (翟勇).html</w:t>
      </w:r>
    </w:p>
    <w:p>
      <w:r>
        <w:t>吉林大学出版社 出版图书：https://www.jiaokey.com/tag/吉林大学出版社.html</w:t>
      </w:r>
    </w:p>
    <w:p>
      <w:r>
        <w:t>关键词搜索：https://www.jiaokey.com/tag/Developmental shift of parsing strategies : processing empty subject sentences among L1 and L2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