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Heiligenverehrung und Namengebung</w:t>
      </w:r>
    </w:p>
    <w:p>
      <w:r>
        <w:rPr>
          <w:rFonts w:ascii="宋体" w:hAnsi="宋体" w:eastAsia="宋体"/>
          <w:sz w:val="24"/>
        </w:rPr>
        <w:t>Kathrin Drager; Fabian Fahlbusch; Damaris Nübling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Heiligenverehrung und Namengebung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Kathrin Drager; Fabian Fahlbusch; Damaris Nübling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本书出售、求购地址：https://www.jiaokey.com/book/detail/40995052.html</w:t>
      </w:r>
    </w:p>
    <w:p>
      <w:r>
        <w:t>更多相关图书推荐：https://www.jiaokey.com</w:t>
      </w:r>
    </w:p>
    <w:p>
      <w:r>
        <w:t>Kathrin Drager; Fabian Fahlbusch; Damaris Nübling 其他作品：https://www.jiaokey.com/tag/Kathrin Drager; Fabian Fahlbusch; Damaris Nübling.html</w:t>
      </w:r>
    </w:p>
    <w:p>
      <w:r>
        <w:t>De Gruyter Mouton 出版图书：https://www.jiaokey.com/tag/De Gruyter Mouton.html</w:t>
      </w:r>
    </w:p>
    <w:p>
      <w:r>
        <w:t>关键词搜索：https://www.jiaokey.com/tag/Heiligenverehrung und Namengebung.html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