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Socio-economic segregation in European capital cities: East meets West</w:t>
      </w:r>
    </w:p>
    <w:p>
      <w:r>
        <w:rPr>
          <w:rFonts w:ascii="宋体" w:hAnsi="宋体" w:eastAsia="宋体"/>
          <w:sz w:val="24"/>
        </w:rPr>
        <w:t>Tiit Tammaru; Maarten van Ham; Szymon Marcińczak; Sako Musterd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Socio-economic segregation in European capital cities: East meets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Tiit Tammaru; Maarten van Ham; Szymon Marcińczak; Sako Musterd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本书出售、求购地址：https://www.jiaokey.com/book/detail/40988989.html</w:t>
      </w:r>
    </w:p>
    <w:p>
      <w:r>
        <w:t>更多相关图书推荐：https://www.jiaokey.com</w:t>
      </w:r>
    </w:p>
    <w:p>
      <w:r>
        <w:t>Tiit Tammaru; Maarten van Ham; Szymon Marcińczak; Sako Musterd 其他作品：https://www.jiaokey.com/tag/Tiit Tammaru; Maarten van Ham; Szymon Marcińczak; Sako Musterd.html</w:t>
      </w:r>
    </w:p>
    <w:p>
      <w:r>
        <w:t>Routledge 出版图书：https://www.jiaokey.com/tag/Routledge.html</w:t>
      </w:r>
    </w:p>
    <w:p>
      <w:r>
        <w:t>关键词搜索：https://www.jiaokey.com/tag/Socio-economic segregation in European capital cities: East meets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