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in contexts = 社会、历史背景下的跨文化交际 第4版</w:t>
      </w:r>
    </w:p>
    <w:p>
      <w:r>
        <w:rPr>
          <w:rFonts w:ascii="宋体" w:hAnsi="宋体" w:eastAsia="宋体"/>
          <w:sz w:val="24"/>
        </w:rPr>
        <w:t xml:space="preserve"> Thomas K.Nakayama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in contexts = 社会、历史背景下的跨文化交际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K.Nakayama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本书出售、求购地址：https://www.jiaokey.com/book/detail/40971692.html</w:t>
      </w:r>
    </w:p>
    <w:p>
      <w:r>
        <w:t>更多相关图书推荐：https://www.jiaokey.com</w:t>
      </w:r>
    </w:p>
    <w:p>
      <w:r>
        <w:t xml:space="preserve"> Thomas K.Nakayama 其他作品：https://www.jiaokey.com/tag/ Thomas K.Nakayama.html</w:t>
      </w:r>
    </w:p>
    <w:p>
      <w:r>
        <w:t>McGraw-Hill 出版图书：https://www.jiaokey.com/tag/McGraw-Hill.html</w:t>
      </w:r>
    </w:p>
    <w:p>
      <w:r>
        <w:t>关键词搜索：https://www.jiaokey.com/tag/Intercultural communication in contexts = 社会、历史背景下的跨文化交际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