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Cibo e ambiente: manipolazioni e tutele nel diritto canonico</w:t>
      </w:r>
    </w:p>
    <w:p>
      <w:r>
        <w:rPr>
          <w:rFonts w:ascii="宋体" w:hAnsi="宋体" w:eastAsia="宋体"/>
          <w:sz w:val="24"/>
        </w:rPr>
        <w:t xml:space="preserve"> Carmela Ventrella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Cibo e ambiente: manipolazioni e tutele nel diritto canonico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Carmela Ventrella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Cacucci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本书出售、求购地址：https://www.jiaokey.com/book/detail/40966275.html</w:t>
      </w:r>
    </w:p>
    <w:p>
      <w:r>
        <w:t>更多相关图书推荐：https://www.jiaokey.com</w:t>
      </w:r>
    </w:p>
    <w:p>
      <w:r>
        <w:t xml:space="preserve"> Carmela Ventrella 其他作品：https://www.jiaokey.com/tag/ Carmela Ventrella.html</w:t>
      </w:r>
    </w:p>
    <w:p>
      <w:r>
        <w:t>Cacucci Editore 出版图书：https://www.jiaokey.com/tag/Cacucci Editore.html</w:t>
      </w:r>
    </w:p>
    <w:p>
      <w:r>
        <w:t>关键词搜索：https://www.jiaokey.com/tag/Cibo e ambiente: manipolazioni e tutele nel diritto canonico.html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