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暴力団排除と企業対応の実務</w:t>
      </w:r>
    </w:p>
    <w:p>
      <w:r>
        <w:rPr>
          <w:rFonts w:ascii="宋体" w:hAnsi="宋体" w:eastAsia="宋体"/>
          <w:sz w:val="24"/>
        </w:rPr>
        <w:t>東京弁護士会民事介入暴力対策特別委員会編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暴力団排除と企業対応の実務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東京弁護士会民事介入暴力対策特別委員会編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本书出售、求购地址：https://www.jiaokey.com/book/detail/40963234.html</w:t>
      </w:r>
    </w:p>
    <w:p>
      <w:r>
        <w:t>更多相关图书推荐：https://www.jiaokey.com</w:t>
      </w:r>
    </w:p>
    <w:p>
      <w:r>
        <w:t>東京弁護士会民事介入暴力対策特別委員会編 其他作品：https://www.jiaokey.com/tag/東京弁護士会民事介入暴力対策特別委員会編.html</w:t>
      </w:r>
    </w:p>
    <w:p>
      <w:r>
        <w:t>商事法務 出版图书：https://www.jiaokey.com/tag/商事法務.html</w:t>
      </w:r>
    </w:p>
    <w:p>
      <w:r>
        <w:t>关键词搜索：https://www.jiaokey.com/tag/暴力団排除と企業対応の実務.html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