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现代游牧民及其保留地: 老问题</w:t>
      </w:r>
    </w:p>
    <w:p>
      <w:r>
        <w:rPr>
          <w:rFonts w:ascii="宋体" w:hAnsi="宋体" w:eastAsia="宋体"/>
          <w:sz w:val="24"/>
        </w:rPr>
        <w:t xml:space="preserve"> 绰伊·斯特恩伯格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现代游牧民及其保留地: 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绰伊·斯特恩伯格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本书出售、求购地址：https://www.jiaokey.com/book/detail/40956126.html</w:t>
      </w:r>
    </w:p>
    <w:p>
      <w:r>
        <w:t>更多相关图书推荐：https://www.jiaokey.com</w:t>
      </w:r>
    </w:p>
    <w:p>
      <w:r>
        <w:t xml:space="preserve"> 绰伊·斯特恩伯格 其他作品：https://www.jiaokey.com/tag/ 绰伊·斯特恩伯格.html</w:t>
      </w:r>
    </w:p>
    <w:p>
      <w:r>
        <w:t>知识产权出版社 出版图书：https://www.jiaokey.com/tag/知识产权出版社.html</w:t>
      </w:r>
    </w:p>
    <w:p>
      <w:r>
        <w:t>关键词搜索：https://www.jiaokey.com/tag/现代游牧民及其保留地: 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