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世界美術全集 第27卷 古典派·浪曼派</w:t>
      </w:r>
    </w:p>
    <w:p>
      <w:r>
        <w:rPr>
          <w:rFonts w:ascii="宋体" w:hAnsi="宋体" w:eastAsia="宋体"/>
          <w:sz w:val="24"/>
        </w:rPr>
        <w:t>下中彌三郎編輯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世界美術全集 第27卷 古典派·浪曼派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下中彌三郎編輯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本书出售、求购地址：https://www.jiaokey.com/book/detail/40952146.html</w:t>
      </w:r>
    </w:p>
    <w:p>
      <w:r>
        <w:t>更多相关图书推荐：https://www.jiaokey.com</w:t>
      </w:r>
    </w:p>
    <w:p>
      <w:r>
        <w:t>下中彌三郎編輯 其他作品：https://www.jiaokey.com/tag/下中彌三郎編輯.html</w:t>
      </w:r>
    </w:p>
    <w:p>
      <w:r>
        <w:t>平凡社 出版图书：https://www.jiaokey.com/tag/平凡社.html</w:t>
      </w:r>
    </w:p>
    <w:p>
      <w:r>
        <w:t>关键词搜索：https://www.jiaokey.com/tag/世界美術全集 第27卷 古典派·浪曼派.html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