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歎異抄入門: 親鸞と現代</w:t>
      </w:r>
    </w:p>
    <w:p>
      <w:r>
        <w:rPr>
          <w:rFonts w:ascii="宋体" w:hAnsi="宋体" w:eastAsia="宋体"/>
          <w:sz w:val="24"/>
        </w:rPr>
        <w:t>歎異抄研究会編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歎異抄入門: 親鸞と現代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歎異抄研究会編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本书出售、求购地址：https://www.jiaokey.com/book/detail/40950571.html</w:t>
      </w:r>
    </w:p>
    <w:p>
      <w:r>
        <w:t>更多相关图书推荐：https://www.jiaokey.com</w:t>
      </w:r>
    </w:p>
    <w:p>
      <w:r>
        <w:t>歎異抄研究会編 其他作品：https://www.jiaokey.com/tag/歎異抄研究会編.html</w:t>
      </w:r>
    </w:p>
    <w:p>
      <w:r>
        <w:t>社会思想社 出版图书：https://www.jiaokey.com/tag/社会思想社.html</w:t>
      </w:r>
    </w:p>
    <w:p>
      <w:r>
        <w:t>关键词搜索：https://www.jiaokey.com/tag/歎異抄入門: 親鸞と現代.html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