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流通国際化研究の現段階</w:t>
      </w:r>
    </w:p>
    <w:p>
      <w:r>
        <w:rPr>
          <w:rFonts w:ascii="宋体" w:hAnsi="宋体" w:eastAsia="宋体"/>
          <w:sz w:val="24"/>
        </w:rPr>
        <w:t xml:space="preserve"> 宮崎卓朗編著; 岩永忠康監修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流通国際化研究の現段階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宮崎卓朗編著; 岩永忠康監修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本书出售、求购地址：https://www.jiaokey.com/book/detail/40949651.html</w:t>
      </w:r>
    </w:p>
    <w:p>
      <w:r>
        <w:t>更多相关图书推荐：https://www.jiaokey.com</w:t>
      </w:r>
    </w:p>
    <w:p>
      <w:r>
        <w:t xml:space="preserve"> 宮崎卓朗編著; 岩永忠康監修 其他作品：https://www.jiaokey.com/tag/ 宮崎卓朗編著; 岩永忠康監修.html</w:t>
      </w:r>
    </w:p>
    <w:p>
      <w:r>
        <w:t>同友館 出版图书：https://www.jiaokey.com/tag/同友館.html</w:t>
      </w:r>
    </w:p>
    <w:p>
      <w:r>
        <w:t>关键词搜索：https://www.jiaokey.com/tag/流通国際化研究の現段階.html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