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株で富を築くバフェットの法則: 全米No.1資産家の投資戦略</w:t>
      </w:r>
    </w:p>
    <w:p>
      <w:r>
        <w:rPr>
          <w:rFonts w:ascii="宋体" w:hAnsi="宋体" w:eastAsia="宋体"/>
          <w:sz w:val="24"/>
        </w:rPr>
        <w:t xml:space="preserve"> 土屋安衛訳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株で富を築くバフェットの法則: 全米No.1資産家の投資戦略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土屋安衛訳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本书出售、求购地址：https://www.jiaokey.com/book/detail/40949300.html</w:t>
      </w:r>
    </w:p>
    <w:p>
      <w:r>
        <w:t>更多相关图书推荐：https://www.jiaokey.com</w:t>
      </w:r>
    </w:p>
    <w:p>
      <w:r>
        <w:t xml:space="preserve"> 土屋安衛訳 其他作品：https://www.jiaokey.com/tag/ 土屋安衛訳.html</w:t>
      </w:r>
    </w:p>
    <w:p>
      <w:r>
        <w:t>ダイヤモンド社 出版图书：https://www.jiaokey.com/tag/ダイヤモンド社.html</w:t>
      </w:r>
    </w:p>
    <w:p>
      <w:r>
        <w:t>关键词搜索：https://www.jiaokey.com/tag/株で富を築くバフェットの法則: 全米No.1資産家の投資戦略.html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