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Conceptual Representation and the Measurement of Psychological Forces = 心理力量的概念表征与测量</w:t>
      </w:r>
    </w:p>
    <w:p>
      <w:r>
        <w:rPr>
          <w:rFonts w:ascii="宋体" w:hAnsi="宋体" w:eastAsia="宋体"/>
          <w:sz w:val="24"/>
        </w:rPr>
        <w:t>Kurt Lewin(库尔特·勒温)著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Conceptual Representation and the Measurement of Psychological Forces = 心理力量的概念表征与测量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Lewin(库尔特·勒温)著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本书出售、求购地址：https://www.jiaokey.com/book/detail/40948228.html</w:t>
      </w:r>
    </w:p>
    <w:p>
      <w:r>
        <w:t>更多相关图书推荐：https://www.jiaokey.com</w:t>
      </w:r>
    </w:p>
    <w:p>
      <w:r>
        <w:t>Kurt Lewin(库尔特·勒温)著 其他作品：https://www.jiaokey.com/tag/Kurt Lewin(库尔特·勒温)著.html</w:t>
      </w:r>
    </w:p>
    <w:p>
      <w:r>
        <w:t>中国传媒大学出版社 出版图书：https://www.jiaokey.com/tag/中国传媒大学出版社.html</w:t>
      </w:r>
    </w:p>
    <w:p>
      <w:r>
        <w:t>关键词搜索：https://www.jiaokey.com/tag/The Conceptual Representation and the Measurement of Psychological Forces = 心理力量的概念表征与测量.html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