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Chinas Economic Growth Prospects From Demographic Dividend To Reform Dividend</w:t>
      </w:r>
    </w:p>
    <w:p>
      <w:r>
        <w:rPr>
          <w:rFonts w:ascii="宋体" w:hAnsi="宋体" w:eastAsia="宋体"/>
          <w:sz w:val="24"/>
        </w:rPr>
        <w:t>Cai Fang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Chinas Economic Growth Prospects From Demographic Dividend To Reform Dividend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Cai Fang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本书出售、求购地址：https://www.jiaokey.com/book/detail/40938647.html</w:t>
      </w:r>
    </w:p>
    <w:p>
      <w:r>
        <w:t>更多相关图书推荐：https://www.jiaokey.com</w:t>
      </w:r>
    </w:p>
    <w:p>
      <w:r>
        <w:t>Cai Fang 其他作品：https://www.jiaokey.com/tag/Cai Fang.html</w:t>
      </w:r>
    </w:p>
    <w:p>
      <w:r>
        <w:t>Edward Elgar 出版图书：https://www.jiaokey.com/tag/Edward Elgar.html</w:t>
      </w:r>
    </w:p>
    <w:p>
      <w:r>
        <w:t>关键词搜索：https://www.jiaokey.com/tag/Chinas Economic Growth Prospects From Demographic Dividend To Reform Dividend.html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