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THEORIZING AND ANALYZING AGENCY IN SECOND LANGUAGE LEARNING INTERDISCIPLINARY APPROACHES</w:t>
      </w:r>
    </w:p>
    <w:p>
      <w:r>
        <w:rPr>
          <w:rFonts w:ascii="宋体" w:hAnsi="宋体" w:eastAsia="宋体"/>
          <w:sz w:val="24"/>
        </w:rPr>
        <w:t>GERGANA VITANOVA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THEORIZING AND ANALYZING AGENCY IN SECOND LANGUAGE LEARNING INTERDISCIPLINARY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GERGANA VITANOVA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本书出售、求购地址：https://www.jiaokey.com/book/detail/40931220.html</w:t>
      </w:r>
    </w:p>
    <w:p>
      <w:r>
        <w:t>更多相关图书推荐：https://www.jiaokey.com</w:t>
      </w:r>
    </w:p>
    <w:p>
      <w:r>
        <w:t>GERGANA VITANOVA 其他作品：https://www.jiaokey.com/tag/GERGANA VITANOVA.html</w:t>
      </w:r>
    </w:p>
    <w:p>
      <w:r>
        <w:t>MULTILINGUAL MATTERS 出版图书：https://www.jiaokey.com/tag/MULTILINGUAL MATTERS.html</w:t>
      </w:r>
    </w:p>
    <w:p>
      <w:r>
        <w:t>关键词搜索：https://www.jiaokey.com/tag/THEORIZING AND ANALYZING AGENCY IN SECOND LANGUAGE LEARNING INTERDISCIPLINARY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