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CONGRUENCE IN CONTACT-INDUCED LANGUAGE CHANGE LANGUAGE FAMILIES，TYPOLOGICAL RESEMBLANCE，AND PERCEIVED SIMILARITY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CONGRUENCE IN CONTACT-INDUCED LANGUAGE CHANGE LANGUAGE FAMILIES，TYPOLOGICAL RESEMBLANCE，AND PERCEIVED SIMILARITY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本书出售、求购地址：https://www.jiaokey.com/book/detail/40931046.html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关键词搜索：https://www.jiaokey.com/tag/CONGRUENCE IN CONTACT-INDUCED LANGUAGE CHANGE LANGUAGE FAMILIES，TYPOLOGICAL RESEMBLANCE，AND PERCEIVED SIMILARITY.html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