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CITIES AS ENGINES OF SUSTAINABLE COMPETITIVENESS EUROPEAN URBAN POLICY IN PRACTICE</w:t>
      </w:r>
    </w:p>
    <w:p>
      <w:r>
        <w:rPr>
          <w:rFonts w:ascii="宋体" w:hAnsi="宋体" w:eastAsia="宋体"/>
          <w:sz w:val="24"/>
        </w:rPr>
        <w:t>LEO VAN DEN BERG JAN VAN DER MEER AND LUIS CARVALHO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CITIES AS ENGINES OF SUSTAINABLE COMPETITIVENESS EUROPEAN URBAN POLICY IN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VAN DEN BERG JAN VAN DER MEER AND LUIS CARVALHO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本书出售、求购地址：https://www.jiaokey.com/book/detail/40923825.html</w:t>
      </w:r>
    </w:p>
    <w:p>
      <w:r>
        <w:t>更多相关图书推荐：https://www.jiaokey.com</w:t>
      </w:r>
    </w:p>
    <w:p>
      <w:r>
        <w:t>LEO VAN DEN BERG JAN VAN DER MEER AND LUIS CARVALHO 其他作品：https://www.jiaokey.com/tag/LEO VAN DEN BERG JAN VAN DER MEER AND LUIS CARVALHO.html</w:t>
      </w:r>
    </w:p>
    <w:p>
      <w:r>
        <w:t>ASHGATE 出版图书：https://www.jiaokey.com/tag/ASHGATE.html</w:t>
      </w:r>
    </w:p>
    <w:p>
      <w:r>
        <w:t>关键词搜索：https://www.jiaokey.com/tag/CITIES AS ENGINES OF SUSTAINABLE COMPETITIVENESS EUROPEAN URBAN POLICY IN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