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space-time wireless communications = 空时无线通信导论 (影印版)</w:t>
      </w:r>
    </w:p>
    <w:p>
      <w:r>
        <w:rPr>
          <w:rFonts w:ascii="宋体" w:hAnsi="宋体" w:eastAsia="宋体"/>
          <w:sz w:val="24"/>
        </w:rPr>
        <w:t>Arogyaswami Paulraj ; Rohit Nabar ; Dhananjay Gore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space-time wireless communications = 空时无线通信导论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Arogyaswami Paulraj ; Rohit Nabar ; Dhananjay Gore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本书出售、求购地址：https://www.jiaokey.com/book/detail/40904559.html</w:t>
      </w:r>
    </w:p>
    <w:p>
      <w:r>
        <w:t>更多相关图书推荐：https://www.jiaokey.com</w:t>
      </w:r>
    </w:p>
    <w:p>
      <w:r>
        <w:t>Arogyaswami Paulraj ; Rohit Nabar ; Dhananjay Gore 其他作品：https://www.jiaokey.com/tag/Arogyaswami Paulraj ; Rohit Nabar ; Dhananjay Gore.html</w:t>
      </w:r>
    </w:p>
    <w:p>
      <w:r>
        <w:t>清华大学出版社 出版图书：https://www.jiaokey.com/tag/清华大学出版社.html</w:t>
      </w:r>
    </w:p>
    <w:p>
      <w:r>
        <w:t>关键词搜索：https://www.jiaokey.com/tag/Introduction to space-time wireless communications = 空时无线通信导论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