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Relationship of WTO Law and Regional Trade Agreements in Dispute Settlement From Fragmenttation to Coherence</w:t>
      </w:r>
    </w:p>
    <w:p>
      <w:r>
        <w:rPr>
          <w:rFonts w:ascii="宋体" w:hAnsi="宋体" w:eastAsia="宋体"/>
          <w:sz w:val="24"/>
        </w:rPr>
        <w:t>Malebakeng Agnes Forere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Relationship of WTO Law and Regional Trade Agreements in Dispute Settlement From Fragmenttation to Coherence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Malebakeng Agnes Forere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本书出售、求购地址：https://www.jiaokey.com/book/detail/40899116.html</w:t>
      </w:r>
    </w:p>
    <w:p>
      <w:r>
        <w:t>更多相关图书推荐：https://www.jiaokey.com</w:t>
      </w:r>
    </w:p>
    <w:p>
      <w:r>
        <w:t>Malebakeng Agnes Forere 其他作品：https://www.jiaokey.com/tag/Malebakeng Agnes Forere.html</w:t>
      </w:r>
    </w:p>
    <w:p>
      <w:r>
        <w:t>Wolters Kluwer 出版图书：https://www.jiaokey.com/tag/Wolters Kluwer.html</w:t>
      </w:r>
    </w:p>
    <w:p>
      <w:r>
        <w:t>关键词搜索：https://www.jiaokey.com/tag/The Relationship of WTO Law and Regional Trade Agreements in Dispute Settlement From Fragmenttation to Coherence.html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