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SHADOW BANKING IN CHINA AN OPPORTUNITY FOR FINANCIAL REFORM</w:t>
      </w:r>
    </w:p>
    <w:p>
      <w:r>
        <w:rPr>
          <w:rFonts w:ascii="宋体" w:hAnsi="宋体" w:eastAsia="宋体"/>
          <w:sz w:val="24"/>
        </w:rPr>
        <w:t>ANDREW SHENG NG CHOW SOON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SHADOW BANKING IN CHINA AN OPPORTUNITY FOR FINANCIAL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SHENG NG CHOW SOON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本书出售、求购地址：https://www.jiaokey.com/book/detail/40890288.html</w:t>
      </w:r>
    </w:p>
    <w:p>
      <w:r>
        <w:t>更多相关图书推荐：https://www.jiaokey.com</w:t>
      </w:r>
    </w:p>
    <w:p>
      <w:r>
        <w:t>ANDREW SHENG NG CHOW SOON 其他作品：https://www.jiaokey.com/tag/ANDREW SHENG NG CHOW SOON.html</w:t>
      </w:r>
    </w:p>
    <w:p>
      <w:r>
        <w:t>WILEY 出版图书：https://www.jiaokey.com/tag/WILEY.html</w:t>
      </w:r>
    </w:p>
    <w:p>
      <w:r>
        <w:t>关键词搜索：https://www.jiaokey.com/tag/SHADOW BANKING IN CHINA AN OPPORTUNITY FOR FINANCIAL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