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软件核心复杂性应对之道 注释版</w:t>
      </w:r>
    </w:p>
    <w:p>
      <w:r>
        <w:rPr>
          <w:rFonts w:ascii="宋体" w:hAnsi="宋体" w:eastAsia="宋体"/>
          <w:sz w:val="24"/>
        </w:rPr>
        <w:t>Eric Evans ; 孙向晖 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软件核心复杂性应对之道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Evans ; 孙向晖 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本书出售、求购地址：https://www.jiaokey.com/book/detail/40868470.html</w:t>
      </w:r>
    </w:p>
    <w:p>
      <w:r>
        <w:t>更多相关图书推荐：https://www.jiaokey.com</w:t>
      </w:r>
    </w:p>
    <w:p>
      <w:r>
        <w:t>Eric Evans ; 孙向晖 注释 其他作品：https://www.jiaokey.com/tag/Eric Evans ; 孙向晖 注释.html</w:t>
      </w:r>
    </w:p>
    <w:p>
      <w:r>
        <w:t>人民邮电出版社 出版图书：https://www.jiaokey.com/tag/人民邮电出版社.html</w:t>
      </w:r>
    </w:p>
    <w:p>
      <w:r>
        <w:t>关键词搜索：https://www.jiaokey.com/tag/领域驱动设计 软件核心复杂性应对之道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