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language generation in spoken and written dialogue: papers from the 2003 AAAI Symposium</w:t>
      </w:r>
    </w:p>
    <w:p>
      <w:r>
        <w:rPr>
          <w:rFonts w:ascii="宋体" w:hAnsi="宋体" w:eastAsia="宋体"/>
          <w:sz w:val="24"/>
        </w:rPr>
        <w:t>Reva Freedman ; Charles Callaway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language generation in spoken and written dialogue: papers from the 2003 AAAI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Reva Freedman ; Charles Callaway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AAAI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本书出售、求购地址：https://www.jiaokey.com/book/detail/40866116.html</w:t>
      </w:r>
    </w:p>
    <w:p>
      <w:r>
        <w:t>更多相关图书推荐：https://www.jiaokey.com</w:t>
      </w:r>
    </w:p>
    <w:p>
      <w:r>
        <w:t>Reva Freedman ; Charles Callaway 其他作品：https://www.jiaokey.com/tag/Reva Freedman ; Charles Callaway.html</w:t>
      </w:r>
    </w:p>
    <w:p>
      <w:r>
        <w:t>AAAI Press 出版图书：https://www.jiaokey.com/tag/AAAI Press.html</w:t>
      </w:r>
    </w:p>
    <w:p>
      <w:r>
        <w:t>关键词搜索：https://www.jiaokey.com/tag/Natural language generation in spoken and written dialogue: papers from the 2003 AAAI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