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Decoherence suppression in quantum systems 2008 volume 3</w:t>
      </w:r>
    </w:p>
    <w:p>
      <w:r>
        <w:rPr>
          <w:rFonts w:ascii="宋体" w:hAnsi="宋体" w:eastAsia="宋体"/>
          <w:sz w:val="24"/>
        </w:rPr>
        <w:t>Mikio Nakahara ; Robabeh Rahimi ; Akira SaiToh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Decoherence suppression in quantum systems 2008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Mikio Nakahara ; Robabeh Rahimi ; Akira SaiToh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本书出售、求购地址：https://www.jiaokey.com/book/detail/40865606.html</w:t>
      </w:r>
    </w:p>
    <w:p>
      <w:r>
        <w:t>更多相关图书推荐：https://www.jiaokey.com</w:t>
      </w:r>
    </w:p>
    <w:p>
      <w:r>
        <w:t>Mikio Nakahara ; Robabeh Rahimi ; Akira SaiToh 其他作品：https://www.jiaokey.com/tag/Mikio Nakahara ; Robabeh Rahimi ; Akira SaiToh.html</w:t>
      </w:r>
    </w:p>
    <w:p>
      <w:r>
        <w:t>World Scientific 出版图书：https://www.jiaokey.com/tag/World Scientific.html</w:t>
      </w:r>
    </w:p>
    <w:p>
      <w:r>
        <w:t>关键词搜索：https://www.jiaokey.com/tag/Decoherence suppression in quantum systems 2008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