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NAI ARBITRATION RULES INCLUDING A COMMENTARY ON DUTCH ARBITRATION LAW</w:t>
      </w:r>
    </w:p>
    <w:p>
      <w:r>
        <w:rPr>
          <w:rFonts w:ascii="宋体" w:hAnsi="宋体" w:eastAsia="宋体"/>
          <w:sz w:val="24"/>
        </w:rPr>
        <w:t>BOMMEL VAN DER BEND  MARNIX LEIJTEN  MARC YNZONIDES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NAI ARBITRATION RULES INCLUDING A COMMENTARY ON DUTCH ARBITRATION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BOMMEL VAN DER BEND  MARNIX LEIJTEN  MARC YNZONIDES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本书出售、求购地址：https://www.jiaokey.com/book/detail/40863477.html</w:t>
      </w:r>
    </w:p>
    <w:p>
      <w:r>
        <w:t>更多相关图书推荐：https://www.jiaokey.com</w:t>
      </w:r>
    </w:p>
    <w:p>
      <w:r>
        <w:t>BOMMEL VAN DER BEND  MARNIX LEIJTEN  MARC YNZONIDES 其他作品：https://www.jiaokey.com/tag/BOMMEL VAN DER BEND  MARNIX LEIJTEN  MARC YNZONIDES.html</w:t>
      </w:r>
    </w:p>
    <w:p>
      <w:r>
        <w:t>关键词搜索：https://www.jiaokey.com/tag/A GUIDE TO THE NAI ARBITRATION RULES INCLUDING A COMMENTARY ON DUTCH ARBITRATION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