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Dividing Lines Between the European Union and Its Member States the Impact of the Treaty of Lisbon</w:t>
      </w:r>
    </w:p>
    <w:p>
      <w:r>
        <w:rPr>
          <w:rFonts w:ascii="宋体" w:hAnsi="宋体" w:eastAsia="宋体"/>
          <w:sz w:val="24"/>
        </w:rPr>
        <w:t>Stephen C.Sieberson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Dividing Lines Between the European Union and Its Member States the Impact of the Treaty of Lisbon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C.Sieberson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T.M.C.Asser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本书出售、求购地址：https://www.jiaokey.com/book/detail/40841298.html</w:t>
      </w:r>
    </w:p>
    <w:p>
      <w:r>
        <w:t>更多相关图书推荐：https://www.jiaokey.com</w:t>
      </w:r>
    </w:p>
    <w:p>
      <w:r>
        <w:t>Stephen C.Sieberson 其他作品：https://www.jiaokey.com/tag/Stephen C.Sieberson.html</w:t>
      </w:r>
    </w:p>
    <w:p>
      <w:r>
        <w:t>T.M.C.Asser Press 出版图书：https://www.jiaokey.com/tag/T.M.C.Asser Press.html</w:t>
      </w:r>
    </w:p>
    <w:p>
      <w:r>
        <w:t>关键词搜索：https://www.jiaokey.com/tag/Dividing Lines Between the European Union and Its Member States the Impact of the Treaty of Lisbon.html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