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EU Citizenship Economic Social and Political Rights in A Time of Constitutional change</w:t>
      </w:r>
    </w:p>
    <w:p>
      <w:r>
        <w:rPr>
          <w:rFonts w:ascii="宋体" w:hAnsi="宋体" w:eastAsia="宋体"/>
          <w:sz w:val="24"/>
        </w:rPr>
        <w:t>Flora Goudappel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EU Citizenship Economic Social and Political Rights in A Time of Constitutional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Flora Goudappel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本书出售、求购地址：https://www.jiaokey.com/book/detail/40840897.html</w:t>
      </w:r>
    </w:p>
    <w:p>
      <w:r>
        <w:t>更多相关图书推荐：https://www.jiaokey.com</w:t>
      </w:r>
    </w:p>
    <w:p>
      <w:r>
        <w:t>Flora Goudappel 其他作品：https://www.jiaokey.com/tag/Flora Goudappel.html</w:t>
      </w:r>
    </w:p>
    <w:p>
      <w:r>
        <w:t>T.M.C.Asser Press 出版图书：https://www.jiaokey.com/tag/T.M.C.Asser Press.html</w:t>
      </w:r>
    </w:p>
    <w:p>
      <w:r>
        <w:t>关键词搜索：https://www.jiaokey.com/tag/The Effects of EU Citizenship Economic Social and Political Rights in A Time of Constitutional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