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编户齐民 传统政治社会结构之形式</w:t>
      </w:r>
    </w:p>
    <w:p>
      <w:r>
        <w:rPr>
          <w:rFonts w:ascii="宋体" w:hAnsi="宋体" w:eastAsia="宋体"/>
          <w:sz w:val="24"/>
        </w:rPr>
        <w:t>杜正胜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编户齐民 传统政治社会结构之形式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联经事业股分有限公司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本书出售、求购地址：https://www.jiaokey.com/book/detail/40839984.html</w:t>
      </w:r>
    </w:p>
    <w:p>
      <w:r>
        <w:t>更多相关图书推荐：https://www.jiaokey.com</w:t>
      </w:r>
    </w:p>
    <w:p>
      <w:r>
        <w:t>杜正胜 其他作品：https://www.jiaokey.com/tag/杜正胜.html</w:t>
      </w:r>
    </w:p>
    <w:p>
      <w:r>
        <w:t>联经事业股分有限公司 出版图书：https://www.jiaokey.com/tag/联经事业股分有限公司.html</w:t>
      </w:r>
    </w:p>
    <w:p>
      <w:r>
        <w:t>关键词搜索：https://www.jiaokey.com/tag/编户齐民 传统政治社会结构之形式.html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