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Kunstraub in Krieg und Verfolgung Die Restitution Der Beute Und Raubkunst im Kollisions und Volkerrecht</w:t>
      </w:r>
    </w:p>
    <w:p>
      <w:r>
        <w:rPr>
          <w:rFonts w:ascii="宋体" w:hAnsi="宋体" w:eastAsia="宋体"/>
          <w:sz w:val="24"/>
        </w:rPr>
        <w:t>Hannes Hartung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Kunstraub in Krieg und Verfolgung Die Restitution Der Beute Und Raubkunst im Kollisions und Volkerrecht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Hannes Hartung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Recht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本书出售、求购地址：https://www.jiaokey.com/book/detail/40833951.html</w:t>
      </w:r>
    </w:p>
    <w:p>
      <w:r>
        <w:t>更多相关图书推荐：https://www.jiaokey.com</w:t>
      </w:r>
    </w:p>
    <w:p>
      <w:r>
        <w:t>Hannes Hartung 其他作品：https://www.jiaokey.com/tag/Hannes Hartung.html</w:t>
      </w:r>
    </w:p>
    <w:p>
      <w:r>
        <w:t>De Gruyter Recht 出版图书：https://www.jiaokey.com/tag/De Gruyter Recht.html</w:t>
      </w:r>
    </w:p>
    <w:p>
      <w:r>
        <w:t>关键词搜索：https://www.jiaokey.com/tag/Kunstraub in Krieg und Verfolgung Die Restitution Der Beute Und Raubkunst im Kollisions und Volkerrecht.html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