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MANAEMENT :PRINCIPLES AND CASES</w:t>
      </w:r>
    </w:p>
    <w:p>
      <w:r>
        <w:rPr>
          <w:rFonts w:ascii="宋体" w:hAnsi="宋体" w:eastAsia="宋体"/>
          <w:sz w:val="24"/>
        </w:rPr>
        <w:t>(美）杰弗里·S.哈里森，卡伦·H.圣约翰著；陈继祥译注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MANAEMENT :PRINCIPLES AND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(美）杰弗里·S.哈里森，卡伦·H.圣约翰著；陈继祥译注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本书出售、求购地址：https://www.jiaokey.com/book/detail/40827876.html</w:t>
      </w:r>
    </w:p>
    <w:p>
      <w:r>
        <w:t>更多相关图书推荐：https://www.jiaokey.com</w:t>
      </w:r>
    </w:p>
    <w:p>
      <w:r>
        <w:t>(美）杰弗里·S.哈里森，卡伦·H.圣约翰著；陈继祥译注 其他作品：https://www.jiaokey.com/tag/(美）杰弗里·S.哈里森，卡伦·H.圣约翰著；陈继祥译注.html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关键词搜索：https://www.jiaokey.com/tag/STRATEGIC MANAEMENT :PRINCIPLES AND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